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horzAnchor="margin" w:tblpXSpec="center" w:tblpY="-423"/>
        <w:tblW w:w="10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84"/>
        <w:gridCol w:w="2127"/>
        <w:gridCol w:w="2268"/>
        <w:gridCol w:w="2059"/>
      </w:tblGrid>
      <w:tr w:rsidR="00F80427" w:rsidRPr="00FE268F" w:rsidTr="00FE268F">
        <w:trPr>
          <w:trHeight w:val="2259"/>
        </w:trPr>
        <w:tc>
          <w:tcPr>
            <w:tcW w:w="1980" w:type="dxa"/>
          </w:tcPr>
          <w:p w:rsidR="00F80427" w:rsidRPr="00FE268F" w:rsidRDefault="00F80427" w:rsidP="00F80427">
            <w:pPr>
              <w:pStyle w:val="TableParagraph"/>
              <w:spacing w:before="39"/>
            </w:pPr>
          </w:p>
          <w:p w:rsidR="00F80427" w:rsidRPr="00FE268F" w:rsidRDefault="00F80427" w:rsidP="00F80427">
            <w:pPr>
              <w:pStyle w:val="TableParagraph"/>
              <w:ind w:left="229"/>
            </w:pPr>
            <w:r w:rsidRPr="00FE268F">
              <w:rPr>
                <w:noProof/>
                <w:lang w:eastAsia="tr-TR"/>
              </w:rPr>
              <w:drawing>
                <wp:inline distT="0" distB="0" distL="0" distR="0" wp14:anchorId="1C3D2B33" wp14:editId="71AF0803">
                  <wp:extent cx="947469" cy="98126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469" cy="98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gridSpan w:val="3"/>
          </w:tcPr>
          <w:p w:rsidR="00F80427" w:rsidRPr="00FE268F" w:rsidRDefault="00F80427" w:rsidP="00F80427">
            <w:pPr>
              <w:pStyle w:val="TableParagraph"/>
              <w:spacing w:before="250"/>
              <w:ind w:left="32" w:right="24"/>
              <w:jc w:val="center"/>
              <w:rPr>
                <w:b/>
              </w:rPr>
            </w:pPr>
            <w:r w:rsidRPr="00FE268F">
              <w:rPr>
                <w:b/>
                <w:spacing w:val="-4"/>
              </w:rPr>
              <w:t>T.C.</w:t>
            </w:r>
          </w:p>
          <w:p w:rsidR="00F80427" w:rsidRPr="00FE268F" w:rsidRDefault="00F80427" w:rsidP="00F80427">
            <w:pPr>
              <w:pStyle w:val="TableParagraph"/>
              <w:spacing w:before="2" w:line="252" w:lineRule="exact"/>
              <w:ind w:left="35" w:right="23"/>
              <w:jc w:val="center"/>
              <w:rPr>
                <w:b/>
              </w:rPr>
            </w:pPr>
            <w:r w:rsidRPr="00FE268F">
              <w:rPr>
                <w:b/>
              </w:rPr>
              <w:t>SAĞLIK</w:t>
            </w:r>
            <w:r w:rsidRPr="00FE268F">
              <w:rPr>
                <w:b/>
                <w:spacing w:val="-5"/>
              </w:rPr>
              <w:t xml:space="preserve"> </w:t>
            </w:r>
            <w:r w:rsidRPr="00FE268F">
              <w:rPr>
                <w:b/>
                <w:spacing w:val="-2"/>
              </w:rPr>
              <w:t>BAKANLIĞI</w:t>
            </w:r>
          </w:p>
          <w:p w:rsidR="00F80427" w:rsidRPr="00FE268F" w:rsidRDefault="00F80427" w:rsidP="00F80427">
            <w:pPr>
              <w:pStyle w:val="TableParagraph"/>
              <w:ind w:left="32" w:right="23"/>
              <w:jc w:val="center"/>
              <w:rPr>
                <w:b/>
              </w:rPr>
            </w:pPr>
            <w:r w:rsidRPr="00FE268F">
              <w:rPr>
                <w:b/>
              </w:rPr>
              <w:t>TÜRKİYE</w:t>
            </w:r>
            <w:r w:rsidRPr="00FE268F">
              <w:rPr>
                <w:b/>
                <w:spacing w:val="-10"/>
              </w:rPr>
              <w:t xml:space="preserve"> </w:t>
            </w:r>
            <w:r w:rsidRPr="00FE268F">
              <w:rPr>
                <w:b/>
              </w:rPr>
              <w:t>HUDUT</w:t>
            </w:r>
            <w:r w:rsidRPr="00FE268F">
              <w:rPr>
                <w:b/>
                <w:spacing w:val="-7"/>
              </w:rPr>
              <w:t xml:space="preserve"> </w:t>
            </w:r>
            <w:r w:rsidRPr="00FE268F">
              <w:rPr>
                <w:b/>
              </w:rPr>
              <w:t>VE</w:t>
            </w:r>
            <w:r w:rsidRPr="00FE268F">
              <w:rPr>
                <w:b/>
                <w:spacing w:val="-7"/>
              </w:rPr>
              <w:t xml:space="preserve"> </w:t>
            </w:r>
            <w:r w:rsidRPr="00FE268F">
              <w:rPr>
                <w:b/>
              </w:rPr>
              <w:t>SAHİLLER</w:t>
            </w:r>
            <w:r w:rsidRPr="00FE268F">
              <w:rPr>
                <w:b/>
                <w:spacing w:val="40"/>
              </w:rPr>
              <w:t xml:space="preserve"> </w:t>
            </w:r>
            <w:r w:rsidRPr="00FE268F">
              <w:rPr>
                <w:b/>
              </w:rPr>
              <w:t>SAĞLIK</w:t>
            </w:r>
            <w:r w:rsidRPr="00FE268F">
              <w:rPr>
                <w:b/>
                <w:spacing w:val="-5"/>
              </w:rPr>
              <w:t xml:space="preserve"> </w:t>
            </w:r>
            <w:r w:rsidRPr="00FE268F">
              <w:rPr>
                <w:b/>
              </w:rPr>
              <w:t xml:space="preserve">GENEL </w:t>
            </w:r>
            <w:r w:rsidRPr="00FE268F">
              <w:rPr>
                <w:b/>
                <w:spacing w:val="-2"/>
              </w:rPr>
              <w:t>MÜDÜRLÜĞÜ</w:t>
            </w:r>
          </w:p>
          <w:p w:rsidR="00A76A63" w:rsidRPr="00FE268F" w:rsidRDefault="00FA2270" w:rsidP="00A76A63">
            <w:pPr>
              <w:pStyle w:val="stBilgi"/>
              <w:jc w:val="center"/>
              <w:rPr>
                <w:rFonts w:ascii="Times New Roman" w:hAnsi="Times New Roman" w:cs="Times New Roman"/>
                <w:b/>
              </w:rPr>
            </w:pPr>
            <w:r w:rsidRPr="00FE268F">
              <w:rPr>
                <w:rFonts w:ascii="Times New Roman" w:hAnsi="Times New Roman" w:cs="Times New Roman"/>
                <w:b/>
              </w:rPr>
              <w:t>OKSİJEN TÜPÜ GÜVENLİ ÇALIŞMA TALİMATI</w:t>
            </w:r>
          </w:p>
          <w:p w:rsidR="00F80427" w:rsidRPr="00FE268F" w:rsidRDefault="00F80427" w:rsidP="00F80427">
            <w:pPr>
              <w:pStyle w:val="TableParagraph"/>
              <w:spacing w:before="7"/>
              <w:ind w:left="35" w:right="23"/>
              <w:jc w:val="center"/>
              <w:rPr>
                <w:b/>
              </w:rPr>
            </w:pPr>
          </w:p>
        </w:tc>
        <w:tc>
          <w:tcPr>
            <w:tcW w:w="2059" w:type="dxa"/>
          </w:tcPr>
          <w:p w:rsidR="00F80427" w:rsidRPr="00FE268F" w:rsidRDefault="00F80427" w:rsidP="00F80427">
            <w:pPr>
              <w:pStyle w:val="TableParagraph"/>
              <w:spacing w:before="39"/>
            </w:pPr>
          </w:p>
          <w:p w:rsidR="00F80427" w:rsidRPr="00FE268F" w:rsidRDefault="00F80427" w:rsidP="00F80427">
            <w:pPr>
              <w:pStyle w:val="TableParagraph"/>
              <w:ind w:left="68" w:right="-72"/>
            </w:pPr>
            <w:r w:rsidRPr="00FE268F">
              <w:rPr>
                <w:noProof/>
                <w:lang w:eastAsia="tr-TR"/>
              </w:rPr>
              <w:drawing>
                <wp:inline distT="0" distB="0" distL="0" distR="0" wp14:anchorId="62D34CAE" wp14:editId="5F319723">
                  <wp:extent cx="1095149" cy="952976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149" cy="95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427" w:rsidRPr="00FE268F" w:rsidTr="00FE268F">
        <w:trPr>
          <w:trHeight w:val="621"/>
        </w:trPr>
        <w:tc>
          <w:tcPr>
            <w:tcW w:w="1980" w:type="dxa"/>
          </w:tcPr>
          <w:p w:rsidR="00F80427" w:rsidRPr="00FE268F" w:rsidRDefault="00F80427" w:rsidP="00FE268F">
            <w:pPr>
              <w:pStyle w:val="TableParagraph"/>
              <w:spacing w:before="1"/>
              <w:jc w:val="both"/>
              <w:rPr>
                <w:sz w:val="20"/>
              </w:rPr>
            </w:pPr>
          </w:p>
          <w:p w:rsidR="00F80427" w:rsidRPr="00FE268F" w:rsidRDefault="00F80427" w:rsidP="00FE268F">
            <w:pPr>
              <w:pStyle w:val="TableParagraph"/>
              <w:ind w:left="333"/>
              <w:jc w:val="both"/>
              <w:rPr>
                <w:b/>
                <w:sz w:val="20"/>
              </w:rPr>
            </w:pPr>
            <w:proofErr w:type="spellStart"/>
            <w:r w:rsidRPr="00FE268F">
              <w:rPr>
                <w:b/>
                <w:sz w:val="20"/>
              </w:rPr>
              <w:t>Doküman</w:t>
            </w:r>
            <w:proofErr w:type="spellEnd"/>
            <w:r w:rsidRPr="00FE268F">
              <w:rPr>
                <w:b/>
                <w:spacing w:val="-5"/>
                <w:sz w:val="20"/>
              </w:rPr>
              <w:t xml:space="preserve"> </w:t>
            </w:r>
            <w:r w:rsidRPr="00FE268F">
              <w:rPr>
                <w:b/>
                <w:sz w:val="20"/>
              </w:rPr>
              <w:t>No:</w:t>
            </w:r>
            <w:r w:rsidRPr="00FE268F">
              <w:rPr>
                <w:b/>
                <w:spacing w:val="-2"/>
                <w:sz w:val="20"/>
              </w:rPr>
              <w:t xml:space="preserve"> </w:t>
            </w:r>
            <w:r w:rsidR="00FA2270" w:rsidRPr="00FE268F"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1984" w:type="dxa"/>
          </w:tcPr>
          <w:p w:rsidR="00F80427" w:rsidRPr="00FE268F" w:rsidRDefault="00F80427" w:rsidP="00FE268F">
            <w:pPr>
              <w:pStyle w:val="TableParagraph"/>
              <w:spacing w:before="1"/>
              <w:jc w:val="both"/>
              <w:rPr>
                <w:sz w:val="20"/>
              </w:rPr>
            </w:pPr>
          </w:p>
          <w:p w:rsidR="00F80427" w:rsidRPr="00FE268F" w:rsidRDefault="00F80427" w:rsidP="00FE268F">
            <w:pPr>
              <w:pStyle w:val="TableParagraph"/>
              <w:ind w:left="242"/>
              <w:jc w:val="both"/>
              <w:rPr>
                <w:b/>
                <w:sz w:val="20"/>
              </w:rPr>
            </w:pPr>
            <w:proofErr w:type="spellStart"/>
            <w:r w:rsidRPr="00FE268F">
              <w:rPr>
                <w:b/>
                <w:sz w:val="20"/>
              </w:rPr>
              <w:t>Yayım</w:t>
            </w:r>
            <w:proofErr w:type="spellEnd"/>
            <w:r w:rsidRPr="00FE268F">
              <w:rPr>
                <w:b/>
                <w:spacing w:val="-6"/>
                <w:sz w:val="20"/>
              </w:rPr>
              <w:t xml:space="preserve"> </w:t>
            </w:r>
            <w:proofErr w:type="spellStart"/>
            <w:r w:rsidRPr="00FE268F">
              <w:rPr>
                <w:b/>
                <w:sz w:val="20"/>
              </w:rPr>
              <w:t>Tarihi</w:t>
            </w:r>
            <w:proofErr w:type="spellEnd"/>
            <w:r w:rsidRPr="00FE268F">
              <w:rPr>
                <w:b/>
                <w:spacing w:val="2"/>
                <w:sz w:val="20"/>
              </w:rPr>
              <w:t xml:space="preserve"> </w:t>
            </w:r>
            <w:r w:rsidRPr="00FE268F">
              <w:rPr>
                <w:b/>
                <w:spacing w:val="-2"/>
                <w:sz w:val="20"/>
              </w:rPr>
              <w:t>28.08.2026</w:t>
            </w:r>
          </w:p>
        </w:tc>
        <w:tc>
          <w:tcPr>
            <w:tcW w:w="2127" w:type="dxa"/>
          </w:tcPr>
          <w:p w:rsidR="00F80427" w:rsidRPr="00FE268F" w:rsidRDefault="00F80427" w:rsidP="00FE268F">
            <w:pPr>
              <w:pStyle w:val="TableParagraph"/>
              <w:spacing w:before="105"/>
              <w:ind w:left="578" w:right="351" w:hanging="216"/>
              <w:jc w:val="both"/>
              <w:rPr>
                <w:b/>
                <w:sz w:val="20"/>
              </w:rPr>
            </w:pPr>
            <w:proofErr w:type="spellStart"/>
            <w:r w:rsidRPr="00FE268F">
              <w:rPr>
                <w:b/>
                <w:sz w:val="20"/>
              </w:rPr>
              <w:t>Revizyon</w:t>
            </w:r>
            <w:proofErr w:type="spellEnd"/>
            <w:r w:rsidRPr="00FE268F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FE268F">
              <w:rPr>
                <w:b/>
                <w:sz w:val="20"/>
              </w:rPr>
              <w:t>Tarihi</w:t>
            </w:r>
            <w:proofErr w:type="spellEnd"/>
            <w:r w:rsidRPr="00FE268F">
              <w:rPr>
                <w:b/>
                <w:sz w:val="20"/>
              </w:rPr>
              <w:t xml:space="preserve"> </w:t>
            </w:r>
            <w:r w:rsidRPr="00FE268F">
              <w:rPr>
                <w:b/>
                <w:spacing w:val="-2"/>
                <w:sz w:val="20"/>
              </w:rPr>
              <w:t>28.08.2026</w:t>
            </w:r>
          </w:p>
        </w:tc>
        <w:tc>
          <w:tcPr>
            <w:tcW w:w="2268" w:type="dxa"/>
          </w:tcPr>
          <w:p w:rsidR="00F80427" w:rsidRPr="00FE268F" w:rsidRDefault="00F80427" w:rsidP="00FE268F">
            <w:pPr>
              <w:pStyle w:val="TableParagraph"/>
              <w:spacing w:before="1"/>
              <w:jc w:val="both"/>
              <w:rPr>
                <w:sz w:val="20"/>
              </w:rPr>
            </w:pPr>
          </w:p>
          <w:p w:rsidR="00F80427" w:rsidRPr="00FE268F" w:rsidRDefault="00F80427" w:rsidP="00FE268F">
            <w:pPr>
              <w:pStyle w:val="TableParagraph"/>
              <w:ind w:left="281"/>
              <w:jc w:val="both"/>
              <w:rPr>
                <w:b/>
                <w:sz w:val="20"/>
              </w:rPr>
            </w:pPr>
            <w:proofErr w:type="spellStart"/>
            <w:r w:rsidRPr="00FE268F">
              <w:rPr>
                <w:b/>
                <w:sz w:val="20"/>
              </w:rPr>
              <w:t>Revizyon</w:t>
            </w:r>
            <w:proofErr w:type="spellEnd"/>
            <w:r w:rsidRPr="00FE268F">
              <w:rPr>
                <w:b/>
                <w:spacing w:val="-6"/>
                <w:sz w:val="20"/>
              </w:rPr>
              <w:t xml:space="preserve"> </w:t>
            </w:r>
            <w:proofErr w:type="spellStart"/>
            <w:r w:rsidRPr="00FE268F">
              <w:rPr>
                <w:b/>
                <w:sz w:val="20"/>
              </w:rPr>
              <w:t>Numarası</w:t>
            </w:r>
            <w:proofErr w:type="spellEnd"/>
            <w:r w:rsidRPr="00FE268F">
              <w:rPr>
                <w:b/>
                <w:spacing w:val="-4"/>
                <w:sz w:val="20"/>
              </w:rPr>
              <w:t xml:space="preserve"> </w:t>
            </w:r>
            <w:r w:rsidRPr="00FE268F">
              <w:rPr>
                <w:b/>
                <w:spacing w:val="-5"/>
                <w:sz w:val="20"/>
              </w:rPr>
              <w:t>01</w:t>
            </w:r>
          </w:p>
        </w:tc>
        <w:tc>
          <w:tcPr>
            <w:tcW w:w="2059" w:type="dxa"/>
          </w:tcPr>
          <w:p w:rsidR="00F80427" w:rsidRPr="00FE268F" w:rsidRDefault="00F80427" w:rsidP="00FE268F">
            <w:pPr>
              <w:pStyle w:val="TableParagraph"/>
              <w:spacing w:before="105"/>
              <w:ind w:left="526" w:right="287" w:hanging="226"/>
              <w:jc w:val="both"/>
              <w:rPr>
                <w:b/>
                <w:sz w:val="20"/>
              </w:rPr>
            </w:pPr>
            <w:proofErr w:type="spellStart"/>
            <w:r w:rsidRPr="00FE268F">
              <w:rPr>
                <w:b/>
                <w:sz w:val="20"/>
              </w:rPr>
              <w:t>Sayfa</w:t>
            </w:r>
            <w:proofErr w:type="spellEnd"/>
            <w:r w:rsidRPr="00FE268F">
              <w:rPr>
                <w:b/>
                <w:spacing w:val="-12"/>
                <w:sz w:val="20"/>
              </w:rPr>
              <w:t xml:space="preserve"> </w:t>
            </w:r>
            <w:r w:rsidR="00FE268F" w:rsidRPr="00FE268F">
              <w:rPr>
                <w:b/>
                <w:sz w:val="20"/>
              </w:rPr>
              <w:t>No/</w:t>
            </w:r>
            <w:proofErr w:type="spellStart"/>
            <w:r w:rsidR="00FE268F" w:rsidRPr="00FE268F">
              <w:rPr>
                <w:b/>
                <w:sz w:val="20"/>
              </w:rPr>
              <w:t>Sayfa</w:t>
            </w:r>
            <w:proofErr w:type="spellEnd"/>
            <w:r w:rsidR="00FE268F" w:rsidRPr="00FE268F">
              <w:rPr>
                <w:b/>
                <w:sz w:val="20"/>
              </w:rPr>
              <w:t xml:space="preserve"> </w:t>
            </w:r>
            <w:proofErr w:type="spellStart"/>
            <w:r w:rsidR="00FE268F" w:rsidRPr="00FE268F">
              <w:rPr>
                <w:b/>
                <w:sz w:val="20"/>
              </w:rPr>
              <w:t>Sayısı</w:t>
            </w:r>
            <w:proofErr w:type="spellEnd"/>
            <w:r w:rsidR="00FE268F" w:rsidRPr="00FE268F">
              <w:rPr>
                <w:b/>
                <w:sz w:val="20"/>
              </w:rPr>
              <w:t xml:space="preserve"> 1/1</w:t>
            </w:r>
          </w:p>
        </w:tc>
      </w:tr>
    </w:tbl>
    <w:p w:rsidR="00FE268F" w:rsidRPr="00FE268F" w:rsidRDefault="00FE268F" w:rsidP="00FE268F">
      <w:pPr>
        <w:widowControl/>
        <w:numPr>
          <w:ilvl w:val="0"/>
          <w:numId w:val="5"/>
        </w:numPr>
        <w:suppressAutoHyphens/>
        <w:autoSpaceDE/>
        <w:autoSpaceDN/>
        <w:spacing w:after="160" w:line="259" w:lineRule="auto"/>
        <w:ind w:left="-284" w:right="-709" w:hanging="283"/>
        <w:jc w:val="both"/>
        <w:rPr>
          <w:color w:val="000000"/>
          <w:lang w:eastAsia="tr-TR"/>
        </w:rPr>
      </w:pPr>
      <w:r w:rsidRPr="00FE268F">
        <w:rPr>
          <w:color w:val="000000"/>
          <w:lang w:eastAsia="tr-TR"/>
        </w:rPr>
        <w:t>Oksijen tüplerinin, kullanıldığı ve depolandığı alanlarda vana koruma başlıkları üzerinde takılı olmalıdır.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suppressAutoHyphens/>
        <w:autoSpaceDE/>
        <w:autoSpaceDN/>
        <w:spacing w:after="160" w:line="259" w:lineRule="auto"/>
        <w:ind w:left="-284" w:right="-709" w:hanging="283"/>
        <w:jc w:val="both"/>
        <w:rPr>
          <w:color w:val="000000"/>
          <w:lang w:eastAsia="tr-TR"/>
        </w:rPr>
      </w:pPr>
      <w:r w:rsidRPr="00FE268F">
        <w:rPr>
          <w:color w:val="000000"/>
          <w:lang w:eastAsia="tr-TR"/>
        </w:rPr>
        <w:t>Oksijen tüpleri malzeme güvenlik bilgi formunda belirtilen hususlar doğrultusunda kullanılmalıdır.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suppressAutoHyphens/>
        <w:autoSpaceDE/>
        <w:autoSpaceDN/>
        <w:spacing w:after="160" w:line="259" w:lineRule="auto"/>
        <w:ind w:left="-284" w:right="-709" w:hanging="283"/>
        <w:jc w:val="both"/>
        <w:rPr>
          <w:color w:val="000000"/>
          <w:lang w:eastAsia="tr-TR"/>
        </w:rPr>
      </w:pPr>
      <w:r w:rsidRPr="00FE268F">
        <w:rPr>
          <w:color w:val="000000"/>
          <w:lang w:eastAsia="tr-TR"/>
        </w:rPr>
        <w:t>Tüplerin dolumu, kullanımı, bakımı vb. işlemleri üretici firmadan temin edilen talimatlar doğrultusunda yapılmalıdır. Kaçak olduğu düşünülen tüpler değiştirilmelidir.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after="160" w:line="259" w:lineRule="auto"/>
        <w:ind w:left="-284" w:right="-709" w:hanging="283"/>
        <w:contextualSpacing/>
        <w:jc w:val="both"/>
        <w:rPr>
          <w:color w:val="000000"/>
          <w:lang w:eastAsia="tr-TR"/>
        </w:rPr>
      </w:pPr>
      <w:r w:rsidRPr="00FE268F">
        <w:rPr>
          <w:color w:val="000000"/>
          <w:lang w:eastAsia="tr-TR"/>
        </w:rPr>
        <w:t>Oksijen tüpleri dolum tarihi dikkate alınarak kullanı</w:t>
      </w:r>
      <w:bookmarkStart w:id="0" w:name="_GoBack"/>
      <w:bookmarkEnd w:id="0"/>
      <w:r w:rsidRPr="00FE268F">
        <w:rPr>
          <w:color w:val="000000"/>
          <w:lang w:eastAsia="tr-TR"/>
        </w:rPr>
        <w:t>lmalıdır. Tüp üzerinde bulunan tarihleri dikkate alınarak yetkili firmalarca kontrollerinin yapılması sağlanmalıdır.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120" w:after="160" w:line="259" w:lineRule="auto"/>
        <w:ind w:left="-284" w:right="-709" w:hanging="283"/>
        <w:contextualSpacing/>
        <w:jc w:val="both"/>
        <w:rPr>
          <w:color w:val="000000"/>
          <w:lang w:eastAsia="tr-TR"/>
        </w:rPr>
      </w:pPr>
      <w:r w:rsidRPr="00FE268F">
        <w:rPr>
          <w:rFonts w:eastAsia="Calibri"/>
          <w:bCs/>
        </w:rPr>
        <w:t>Oksijen tüpünü kullanmadan önce tüpün manometre ve vana kontrolü yapılmalıdır. Vana hafifçe açılmalı ve ibrenin yükselmesi kontrol edilmeli, ibre yükselince vana kapatılmalıdır.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120" w:after="160" w:line="259" w:lineRule="auto"/>
        <w:ind w:left="-284" w:right="-709" w:hanging="283"/>
        <w:contextualSpacing/>
        <w:rPr>
          <w:color w:val="000000"/>
          <w:lang w:eastAsia="tr-TR"/>
        </w:rPr>
      </w:pPr>
      <w:r w:rsidRPr="00FE268F">
        <w:rPr>
          <w:color w:val="000000"/>
          <w:lang w:eastAsia="tr-TR"/>
        </w:rPr>
        <w:t>Tüp valfleri ve emniyet cihazları asla onarılmaya veya üzerinde değişiklik yapılmaya çalışılmamalıdır.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120" w:after="160" w:line="259" w:lineRule="auto"/>
        <w:ind w:left="-284" w:right="-709" w:hanging="283"/>
        <w:contextualSpacing/>
        <w:jc w:val="both"/>
        <w:rPr>
          <w:rFonts w:eastAsia="Calibri"/>
          <w:bCs/>
        </w:rPr>
      </w:pPr>
      <w:r w:rsidRPr="00FE268F">
        <w:rPr>
          <w:rFonts w:eastAsia="Calibri"/>
        </w:rPr>
        <w:t xml:space="preserve">Yağlı, gres yağlı, kremli, </w:t>
      </w:r>
      <w:proofErr w:type="spellStart"/>
      <w:r w:rsidRPr="00FE268F">
        <w:rPr>
          <w:rFonts w:eastAsia="Calibri"/>
        </w:rPr>
        <w:t>vazelinli</w:t>
      </w:r>
      <w:proofErr w:type="spellEnd"/>
      <w:r w:rsidRPr="00FE268F">
        <w:rPr>
          <w:rFonts w:eastAsia="Calibri"/>
        </w:rPr>
        <w:t>, ojeli, makine yağlı, kimyasal ve kimyasal olmayan maddelere bulaşmış kirli el ile oksijen tüplerine ve sisteme dokunulmamalı, oksijen tüpü valfi açılıp kapatılmamalıdır.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spacing w:before="240" w:after="240" w:line="259" w:lineRule="auto"/>
        <w:ind w:left="-284" w:right="-709" w:hanging="283"/>
        <w:contextualSpacing/>
        <w:jc w:val="both"/>
        <w:rPr>
          <w:rFonts w:eastAsia="Calibri"/>
          <w:bCs/>
        </w:rPr>
      </w:pPr>
      <w:r w:rsidRPr="00FE268F">
        <w:rPr>
          <w:rFonts w:eastAsia="Calibri"/>
          <w:bCs/>
        </w:rPr>
        <w:t>Vana kapalı iken ibrenin düşmesi tüpün boş olduğu anlamına gelir, tüp bu şekilde kullanılmamalıdır.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spacing w:before="240" w:after="240" w:line="259" w:lineRule="auto"/>
        <w:ind w:left="-284" w:right="-709" w:hanging="283"/>
        <w:contextualSpacing/>
        <w:jc w:val="both"/>
        <w:rPr>
          <w:rFonts w:eastAsia="Calibri"/>
          <w:bCs/>
        </w:rPr>
      </w:pPr>
      <w:r w:rsidRPr="00FE268F">
        <w:rPr>
          <w:rFonts w:eastAsia="Calibri"/>
          <w:bCs/>
        </w:rPr>
        <w:t xml:space="preserve">Vana hafifçe açıldığında oksijen yüksek basınçla çıkmışsa tüpte kaçak vardır, tüp bu şekilde kullanılmamalıdır. </w:t>
      </w:r>
    </w:p>
    <w:p w:rsidR="00FE268F" w:rsidRDefault="00FE268F" w:rsidP="00FE268F">
      <w:pPr>
        <w:widowControl/>
        <w:numPr>
          <w:ilvl w:val="0"/>
          <w:numId w:val="5"/>
        </w:numPr>
        <w:autoSpaceDE/>
        <w:autoSpaceDN/>
        <w:spacing w:before="240" w:after="240" w:line="259" w:lineRule="auto"/>
        <w:ind w:left="-284" w:right="-709" w:hanging="283"/>
        <w:contextualSpacing/>
        <w:jc w:val="both"/>
        <w:rPr>
          <w:rFonts w:eastAsia="Calibri"/>
        </w:rPr>
      </w:pPr>
      <w:r w:rsidRPr="00FE268F">
        <w:rPr>
          <w:rFonts w:eastAsia="Calibri"/>
        </w:rPr>
        <w:t xml:space="preserve">Oksijen tüpü </w:t>
      </w:r>
      <w:r w:rsidRPr="00FE268F">
        <w:rPr>
          <w:rFonts w:eastAsia="Calibri"/>
          <w:b/>
        </w:rPr>
        <w:t>dik</w:t>
      </w:r>
      <w:r w:rsidRPr="00FE268F">
        <w:rPr>
          <w:rFonts w:eastAsia="Calibri"/>
        </w:rPr>
        <w:t xml:space="preserve"> olarak ve </w:t>
      </w:r>
      <w:r w:rsidRPr="00FE268F">
        <w:rPr>
          <w:rFonts w:eastAsia="Calibri"/>
          <w:b/>
        </w:rPr>
        <w:t>zincirle</w:t>
      </w:r>
      <w:r w:rsidRPr="00FE268F">
        <w:rPr>
          <w:rFonts w:eastAsia="Calibri"/>
        </w:rPr>
        <w:t xml:space="preserve"> </w:t>
      </w:r>
      <w:r w:rsidRPr="00FE268F">
        <w:rPr>
          <w:rFonts w:eastAsia="Calibri"/>
          <w:b/>
        </w:rPr>
        <w:t>sabitlenmiş</w:t>
      </w:r>
      <w:r w:rsidRPr="00FE268F">
        <w:rPr>
          <w:rFonts w:eastAsia="Calibri"/>
        </w:rPr>
        <w:t xml:space="preserve"> şekilde tutulmalıdır.</w:t>
      </w:r>
    </w:p>
    <w:p w:rsidR="00FE268F" w:rsidRDefault="00FE268F" w:rsidP="00FE268F">
      <w:pPr>
        <w:widowControl/>
        <w:numPr>
          <w:ilvl w:val="0"/>
          <w:numId w:val="5"/>
        </w:numPr>
        <w:autoSpaceDE/>
        <w:autoSpaceDN/>
        <w:spacing w:before="240" w:after="240" w:line="259" w:lineRule="auto"/>
        <w:ind w:left="-284" w:right="-709" w:hanging="283"/>
        <w:contextualSpacing/>
        <w:jc w:val="both"/>
        <w:rPr>
          <w:rFonts w:eastAsia="Calibri"/>
        </w:rPr>
      </w:pPr>
      <w:r w:rsidRPr="00FE268F">
        <w:rPr>
          <w:rFonts w:eastAsia="Calibri"/>
        </w:rPr>
        <w:t xml:space="preserve">Tüp içindeki gaz tamamen bitmeden, tüpün vanası zorlanmadan kapatılmalı ve kapağı takılmalıdır. </w:t>
      </w:r>
      <w:r w:rsidRPr="00FE268F">
        <w:rPr>
          <w:color w:val="000000"/>
          <w:lang w:eastAsia="tr-TR"/>
        </w:rPr>
        <w:t>Biten oksijen tüpünün üzerine “boş” etiketi yapıştırılmalıdır.</w:t>
      </w:r>
    </w:p>
    <w:p w:rsidR="00FE268F" w:rsidRDefault="00FE268F" w:rsidP="00FE268F">
      <w:pPr>
        <w:widowControl/>
        <w:numPr>
          <w:ilvl w:val="0"/>
          <w:numId w:val="5"/>
        </w:numPr>
        <w:autoSpaceDE/>
        <w:autoSpaceDN/>
        <w:spacing w:before="240" w:after="240" w:line="259" w:lineRule="auto"/>
        <w:ind w:left="-284" w:right="-709" w:hanging="283"/>
        <w:contextualSpacing/>
        <w:jc w:val="both"/>
        <w:rPr>
          <w:rFonts w:eastAsia="Calibri"/>
        </w:rPr>
      </w:pPr>
      <w:r w:rsidRPr="00FE268F">
        <w:rPr>
          <w:color w:val="000000"/>
          <w:lang w:eastAsia="tr-TR"/>
        </w:rPr>
        <w:t xml:space="preserve">Kullanılmayan boş veya dolu oksijen tüpünün kapağı takılı bulunmalıdır. 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240" w:after="240" w:line="259" w:lineRule="auto"/>
        <w:ind w:left="-284" w:right="-709" w:hanging="283"/>
        <w:contextualSpacing/>
        <w:jc w:val="both"/>
        <w:rPr>
          <w:rFonts w:eastAsia="Calibri"/>
        </w:rPr>
      </w:pPr>
      <w:r w:rsidRPr="00FE268F">
        <w:rPr>
          <w:color w:val="000000"/>
          <w:lang w:eastAsia="tr-TR"/>
        </w:rPr>
        <w:t>Boş ve ihtiyaç fazlası tüpleri çalışma sahasında bulundurmayınız.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240" w:after="240" w:line="259" w:lineRule="auto"/>
        <w:ind w:left="-284" w:right="-709" w:hanging="283"/>
        <w:contextualSpacing/>
        <w:jc w:val="both"/>
        <w:rPr>
          <w:color w:val="000000"/>
          <w:lang w:eastAsia="tr-TR"/>
        </w:rPr>
      </w:pPr>
      <w:r w:rsidRPr="00FE268F">
        <w:rPr>
          <w:color w:val="000000"/>
          <w:lang w:eastAsia="tr-TR"/>
        </w:rPr>
        <w:t>Oksijen tüplerinin taşınmasında seyyar tekerlekli ve emniyet zinciri olan taşıma arabaları kullanılmalıdır.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240" w:after="240" w:line="259" w:lineRule="auto"/>
        <w:ind w:left="-284" w:right="-709" w:hanging="283"/>
        <w:contextualSpacing/>
        <w:jc w:val="both"/>
        <w:rPr>
          <w:color w:val="000000"/>
          <w:lang w:eastAsia="tr-TR"/>
        </w:rPr>
      </w:pPr>
      <w:r w:rsidRPr="00FE268F">
        <w:rPr>
          <w:color w:val="000000"/>
          <w:lang w:eastAsia="tr-TR"/>
        </w:rPr>
        <w:t>Tüpleri kullanırken veya naklederken herhangi bir darbeye maruz bırakılmamalıdır.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240" w:after="240" w:line="259" w:lineRule="auto"/>
        <w:ind w:left="-284" w:right="-709" w:hanging="283"/>
        <w:contextualSpacing/>
        <w:jc w:val="both"/>
        <w:rPr>
          <w:rFonts w:eastAsia="Calibri"/>
        </w:rPr>
      </w:pPr>
      <w:r w:rsidRPr="00FE268F">
        <w:rPr>
          <w:rFonts w:eastAsia="Calibri"/>
        </w:rPr>
        <w:t xml:space="preserve">Silindir tüpler, başlık, vana veya koruyucularından tutularak kaldırılmaya çalışılmamalıdır. 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240" w:after="240" w:line="259" w:lineRule="auto"/>
        <w:ind w:left="-284" w:right="-709" w:hanging="283"/>
        <w:contextualSpacing/>
        <w:jc w:val="both"/>
        <w:rPr>
          <w:rFonts w:eastAsia="Calibri"/>
        </w:rPr>
      </w:pPr>
      <w:r w:rsidRPr="00FE268F">
        <w:rPr>
          <w:rFonts w:eastAsia="Calibri"/>
        </w:rPr>
        <w:t>Tüp kesinlikle düşürülmemeli ve düşerken yakalamaya çalışılmamalıdır.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360" w:after="360" w:line="259" w:lineRule="auto"/>
        <w:ind w:left="-284" w:right="-709" w:hanging="283"/>
        <w:contextualSpacing/>
        <w:jc w:val="both"/>
        <w:rPr>
          <w:rFonts w:eastAsia="Calibri"/>
        </w:rPr>
      </w:pPr>
      <w:r w:rsidRPr="00FE268F">
        <w:rPr>
          <w:rFonts w:eastAsia="Calibri"/>
        </w:rPr>
        <w:t>Tüplerin hiçbir zaman tamamen boş olmadığı unutulmamalıdır.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360" w:after="360" w:line="259" w:lineRule="auto"/>
        <w:ind w:left="-284" w:right="-709" w:hanging="283"/>
        <w:contextualSpacing/>
        <w:jc w:val="both"/>
        <w:rPr>
          <w:rFonts w:eastAsia="Calibri"/>
        </w:rPr>
      </w:pPr>
      <w:r w:rsidRPr="00FE268F">
        <w:rPr>
          <w:rFonts w:eastAsia="Calibri"/>
        </w:rPr>
        <w:t>Tüpler zemin üzerinde yuvarlayarak bir yerden bir yere kesinlikle götürülmemeli veya destek amaçlı kullanılmamalıdır.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120" w:after="120" w:line="259" w:lineRule="auto"/>
        <w:ind w:left="-284" w:right="-709" w:hanging="283"/>
        <w:contextualSpacing/>
        <w:jc w:val="both"/>
        <w:rPr>
          <w:color w:val="000000"/>
          <w:lang w:eastAsia="tr-TR"/>
        </w:rPr>
      </w:pPr>
      <w:r w:rsidRPr="00FE268F">
        <w:rPr>
          <w:rFonts w:eastAsia="Calibri"/>
        </w:rPr>
        <w:t xml:space="preserve">Tüpler asla vana ve </w:t>
      </w:r>
      <w:proofErr w:type="gramStart"/>
      <w:r w:rsidRPr="00FE268F">
        <w:rPr>
          <w:rFonts w:eastAsia="Calibri"/>
        </w:rPr>
        <w:t>regülatörleri</w:t>
      </w:r>
      <w:proofErr w:type="gramEnd"/>
      <w:r w:rsidRPr="00FE268F">
        <w:rPr>
          <w:rFonts w:eastAsia="Calibri"/>
        </w:rPr>
        <w:t xml:space="preserve"> takılıyken veya vanaları açıkken taşınılmamalıdır.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360" w:after="360" w:line="259" w:lineRule="auto"/>
        <w:ind w:left="-284" w:right="-709" w:hanging="283"/>
        <w:contextualSpacing/>
        <w:jc w:val="both"/>
        <w:rPr>
          <w:rFonts w:eastAsia="Calibri"/>
        </w:rPr>
      </w:pPr>
      <w:r w:rsidRPr="00FE268F">
        <w:rPr>
          <w:rFonts w:eastAsia="Calibri"/>
        </w:rPr>
        <w:t>Oksijen tüpleri amacı dışında kullanılmamalıdır. (takoz, rulo, kapı tutucu vb.)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360" w:after="360" w:line="259" w:lineRule="auto"/>
        <w:ind w:left="-284" w:right="-709" w:hanging="283"/>
        <w:contextualSpacing/>
        <w:jc w:val="both"/>
        <w:rPr>
          <w:rFonts w:eastAsia="Calibri"/>
        </w:rPr>
      </w:pPr>
      <w:r w:rsidRPr="00FE268F">
        <w:rPr>
          <w:rFonts w:eastAsia="Calibri"/>
        </w:rPr>
        <w:t>Oksijen tüplerinin direkt yanması söz konusu değildir. Oksijen tüpü muhafaza alanında yangına karşı acil müdahale için uygun yangın söndürücü (karbondioksit veya kuru kimyevi) bulunmalıdır.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360" w:after="360" w:line="259" w:lineRule="auto"/>
        <w:ind w:left="-284" w:right="-709" w:hanging="283"/>
        <w:contextualSpacing/>
        <w:jc w:val="both"/>
        <w:rPr>
          <w:rFonts w:eastAsia="Calibri"/>
        </w:rPr>
      </w:pPr>
      <w:r w:rsidRPr="00FE268F">
        <w:rPr>
          <w:rFonts w:eastAsia="Calibri"/>
        </w:rPr>
        <w:t xml:space="preserve"> Oksijen tüpü kullanırken sürtünmeden kaynaklanacak (kıyafet vb.) statik elektriğe dikkat edilmelidir.</w:t>
      </w:r>
    </w:p>
    <w:p w:rsidR="00FE268F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360" w:after="360" w:line="259" w:lineRule="auto"/>
        <w:ind w:left="-284" w:right="-709" w:hanging="283"/>
        <w:contextualSpacing/>
        <w:jc w:val="both"/>
        <w:rPr>
          <w:rFonts w:eastAsia="Calibri"/>
        </w:rPr>
      </w:pPr>
      <w:r w:rsidRPr="00FE268F">
        <w:rPr>
          <w:rFonts w:eastAsia="Calibri"/>
        </w:rPr>
        <w:t xml:space="preserve">Oksijen tüpüne ateş ile yaklaşılmamalı, Oksijen sisteminin bulunduğu ortamda kesinlikle sigara içilmemelidir. Bulunduğu alana </w:t>
      </w:r>
      <w:r w:rsidRPr="00FE268F">
        <w:rPr>
          <w:rFonts w:eastAsia="Calibri"/>
          <w:b/>
        </w:rPr>
        <w:t>“Sigara İçilmez ve Açık Alev Kullanılmaz”</w:t>
      </w:r>
      <w:r w:rsidRPr="00FE268F">
        <w:rPr>
          <w:rFonts w:eastAsia="Calibri"/>
        </w:rPr>
        <w:t xml:space="preserve"> uyarısı asılmalıdır.</w:t>
      </w:r>
    </w:p>
    <w:p w:rsidR="00FE268F" w:rsidRDefault="00FE268F" w:rsidP="00FE268F">
      <w:pPr>
        <w:widowControl/>
        <w:numPr>
          <w:ilvl w:val="0"/>
          <w:numId w:val="5"/>
        </w:numPr>
        <w:autoSpaceDE/>
        <w:autoSpaceDN/>
        <w:spacing w:before="360" w:after="360" w:line="80" w:lineRule="atLeast"/>
        <w:ind w:left="-284" w:right="-709" w:hanging="283"/>
        <w:contextualSpacing/>
        <w:jc w:val="both"/>
        <w:rPr>
          <w:rFonts w:eastAsia="Calibri"/>
          <w:bCs/>
        </w:rPr>
      </w:pPr>
      <w:r w:rsidRPr="00FE268F">
        <w:rPr>
          <w:rFonts w:eastAsia="Calibri"/>
        </w:rPr>
        <w:t>Oksijen tüpleri, paslanmaya ve ağır hava şartlarına (güneş, kar, fırtına vs.) karşı korunmalı, korozyona neden olacak ortam ve şekillerde tutulmamalıdır.</w:t>
      </w:r>
    </w:p>
    <w:p w:rsidR="008428F4" w:rsidRPr="00FE268F" w:rsidRDefault="00FE268F" w:rsidP="00FE268F">
      <w:pPr>
        <w:widowControl/>
        <w:numPr>
          <w:ilvl w:val="0"/>
          <w:numId w:val="5"/>
        </w:numPr>
        <w:autoSpaceDE/>
        <w:autoSpaceDN/>
        <w:spacing w:before="360" w:after="360" w:line="80" w:lineRule="atLeast"/>
        <w:ind w:left="-284" w:right="-709" w:hanging="283"/>
        <w:contextualSpacing/>
        <w:jc w:val="both"/>
        <w:rPr>
          <w:rFonts w:eastAsia="Calibri"/>
          <w:bCs/>
        </w:rPr>
      </w:pPr>
      <w:r w:rsidRPr="00FE268F">
        <w:rPr>
          <w:rFonts w:eastAsia="Calibri"/>
          <w:bCs/>
        </w:rPr>
        <w:t xml:space="preserve">Elektrikli </w:t>
      </w:r>
      <w:proofErr w:type="gramStart"/>
      <w:r w:rsidRPr="00FE268F">
        <w:rPr>
          <w:rFonts w:eastAsia="Calibri"/>
          <w:bCs/>
        </w:rPr>
        <w:t>ekipmanlar</w:t>
      </w:r>
      <w:proofErr w:type="gramEnd"/>
      <w:r w:rsidRPr="00FE268F">
        <w:rPr>
          <w:rFonts w:eastAsia="Calibri"/>
          <w:bCs/>
        </w:rPr>
        <w:t xml:space="preserve">, prizler, elektrik kabloları, kalorifer peteği gibi ısı ve kıvılcım çıkarabilecek yerlerle teması önlenmeli ve bu yerlerle tüp arasında yeterli mesafe bırakılmalıdır.      </w:t>
      </w:r>
    </w:p>
    <w:sectPr w:rsidR="008428F4" w:rsidRPr="00FE2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4F07"/>
    <w:multiLevelType w:val="hybridMultilevel"/>
    <w:tmpl w:val="B43A8326"/>
    <w:lvl w:ilvl="0" w:tplc="C5087630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A3046"/>
    <w:multiLevelType w:val="hybridMultilevel"/>
    <w:tmpl w:val="309C35A0"/>
    <w:lvl w:ilvl="0" w:tplc="B6206DE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4A68E5"/>
    <w:multiLevelType w:val="hybridMultilevel"/>
    <w:tmpl w:val="7A904D34"/>
    <w:lvl w:ilvl="0" w:tplc="507AE10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2026D"/>
    <w:multiLevelType w:val="hybridMultilevel"/>
    <w:tmpl w:val="EB8E4452"/>
    <w:lvl w:ilvl="0" w:tplc="8E8AED00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E063B"/>
    <w:multiLevelType w:val="hybridMultilevel"/>
    <w:tmpl w:val="A0381D8C"/>
    <w:lvl w:ilvl="0" w:tplc="FD08E03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350"/>
    <w:rsid w:val="007F2350"/>
    <w:rsid w:val="008428F4"/>
    <w:rsid w:val="00A76A63"/>
    <w:rsid w:val="00F80427"/>
    <w:rsid w:val="00FA2270"/>
    <w:rsid w:val="00F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2C38"/>
  <w15:chartTrackingRefBased/>
  <w15:docId w15:val="{8FCB7484-4C7A-4C39-BDDF-84C94937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80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04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80427"/>
  </w:style>
  <w:style w:type="paragraph" w:styleId="stBilgi">
    <w:name w:val="header"/>
    <w:basedOn w:val="Normal"/>
    <w:link w:val="stBilgiChar"/>
    <w:uiPriority w:val="99"/>
    <w:unhideWhenUsed/>
    <w:rsid w:val="00A76A6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A76A63"/>
  </w:style>
  <w:style w:type="paragraph" w:styleId="ListeParagraf">
    <w:name w:val="List Paragraph"/>
    <w:basedOn w:val="Normal"/>
    <w:uiPriority w:val="34"/>
    <w:qFormat/>
    <w:rsid w:val="00A76A6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Cihat Çelebi</dc:creator>
  <cp:keywords/>
  <dc:description/>
  <cp:lastModifiedBy>Cihat Çelebi</cp:lastModifiedBy>
  <cp:revision>5</cp:revision>
  <dcterms:created xsi:type="dcterms:W3CDTF">2026-08-28T11:00:00Z</dcterms:created>
  <dcterms:modified xsi:type="dcterms:W3CDTF">2026-08-28T12:33:00Z</dcterms:modified>
</cp:coreProperties>
</file>